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015" w:rsidRDefault="00315AA2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bookmarkStart w:id="0" w:name="_GoBack"/>
      <w:bookmarkEnd w:id="0"/>
      <w:r>
        <w:rPr>
          <w:rFonts w:ascii="Gill Sans" w:eastAsia="Gill Sans" w:hAnsi="Gill Sans" w:cs="Gill Sans"/>
          <w:b/>
        </w:rPr>
        <w:t>3</w:t>
      </w:r>
    </w:p>
    <w:p w:rsidR="00914015" w:rsidRDefault="00315AA2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INFORME DE REVISIÓN DE ESTÁNDARES ACADÉMICOS (REA) SOBRE EL TRABAJO ESCRITO PARA OPTAR EL BACHILLERATO Y TÍTULO EN GESTIÓN</w:t>
      </w:r>
    </w:p>
    <w:p w:rsidR="00914015" w:rsidRDefault="00914015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</w:p>
    <w:p w:rsidR="00914015" w:rsidRDefault="00315AA2">
      <w:pPr>
        <w:spacing w:after="0" w:line="360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Este informe consiste en la verificación de los parámetros establecidos por la Facultad en los trabajos escritos que optan por el bachillerato y el título en Gestión. Consiste en revisar:</w:t>
      </w:r>
    </w:p>
    <w:p w:rsidR="00914015" w:rsidRDefault="00914015">
      <w:pPr>
        <w:spacing w:after="0" w:line="36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p w:rsidR="00914015" w:rsidRDefault="00315AA2">
      <w:p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400175" cy="770338"/>
                <wp:effectExtent l="0" t="0" r="0" b="0"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76350"/>
                          <a:ext cx="2733600" cy="14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C2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sz w:val="28"/>
                              </w:rPr>
                              <w:t>A. Requisitos de presentación</w:t>
                            </w:r>
                          </w:p>
                          <w:p w:rsidR="00914015" w:rsidRDefault="0091401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>Ejemplares impresos y versión dig</w:t>
                            </w: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>ital iguales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00175" cy="770338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70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Gill Sans" w:eastAsia="Gill Sans" w:hAnsi="Gill Sans" w:cs="Gill Sans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400175" cy="770338"/>
                <wp:effectExtent l="0" t="0" r="0" b="0"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76350"/>
                          <a:ext cx="2733600" cy="14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C2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sz w:val="28"/>
                              </w:rPr>
                              <w:t>B. Ética en la investigación</w:t>
                            </w: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 xml:space="preserve"> </w:t>
                            </w:r>
                          </w:p>
                          <w:p w:rsidR="00914015" w:rsidRDefault="0091401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>Respeto por propiedad intelectual y presentación de consentimientos informados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00175" cy="770338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70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Gill Sans" w:eastAsia="Gill Sans" w:hAnsi="Gill Sans" w:cs="Gill Sans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400175" cy="770338"/>
                <wp:effectExtent l="0" t="0" r="0" b="0"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76350"/>
                          <a:ext cx="2733600" cy="14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C2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sz w:val="28"/>
                              </w:rPr>
                              <w:t>C. Sistema de referencias APA</w:t>
                            </w:r>
                          </w:p>
                          <w:p w:rsidR="00914015" w:rsidRDefault="0091401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>Listado de referencias y referencias parentéticas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00175" cy="77033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70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Gill Sans" w:eastAsia="Gill Sans" w:hAnsi="Gill Sans" w:cs="Gill Sans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400175" cy="770338"/>
                <wp:effectExtent l="0" t="0" r="0" b="0"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76350"/>
                          <a:ext cx="2733600" cy="14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C2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sz w:val="28"/>
                              </w:rPr>
                              <w:t>D. Formato para presentación</w:t>
                            </w: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 xml:space="preserve"> </w:t>
                            </w:r>
                          </w:p>
                          <w:p w:rsidR="00914015" w:rsidRDefault="0091401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914015" w:rsidRDefault="00315A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z w:val="28"/>
                              </w:rPr>
                              <w:t xml:space="preserve">Partes obligatorias y complementarias, presentación de tablas y figuras, formato de títulos y márgenes 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00175" cy="770338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70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tbl>
      <w:tblPr>
        <w:tblStyle w:val="a"/>
        <w:tblW w:w="90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565"/>
        <w:gridCol w:w="450"/>
        <w:gridCol w:w="1980"/>
        <w:gridCol w:w="1350"/>
        <w:gridCol w:w="555"/>
      </w:tblGrid>
      <w:tr w:rsidR="00914015">
        <w:trPr>
          <w:trHeight w:val="340"/>
        </w:trPr>
        <w:tc>
          <w:tcPr>
            <w:tcW w:w="2190" w:type="dxa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Proceso:</w:t>
            </w:r>
          </w:p>
        </w:tc>
        <w:tc>
          <w:tcPr>
            <w:tcW w:w="6900" w:type="dxa"/>
            <w:gridSpan w:val="5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bookmarkStart w:id="1" w:name="_ok4ez3yavdim" w:colFirst="0" w:colLast="0"/>
            <w:bookmarkEnd w:id="1"/>
            <w:r>
              <w:rPr>
                <w:rFonts w:ascii="Gill Sans" w:eastAsia="Gill Sans" w:hAnsi="Gill Sans" w:cs="Gill Sans"/>
              </w:rPr>
              <w:t>2017-1 (NPE)</w:t>
            </w:r>
          </w:p>
        </w:tc>
      </w:tr>
      <w:tr w:rsidR="00914015">
        <w:trPr>
          <w:trHeight w:val="300"/>
        </w:trPr>
        <w:tc>
          <w:tcPr>
            <w:tcW w:w="2190" w:type="dxa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Tipo de trabajo:</w:t>
            </w:r>
          </w:p>
        </w:tc>
        <w:tc>
          <w:tcPr>
            <w:tcW w:w="2565" w:type="dxa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Tesis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Proyecto profesional</w:t>
            </w:r>
          </w:p>
        </w:tc>
        <w:tc>
          <w:tcPr>
            <w:tcW w:w="555" w:type="dxa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</w:rPr>
            </w:pPr>
          </w:p>
        </w:tc>
      </w:tr>
      <w:tr w:rsidR="00914015">
        <w:trPr>
          <w:trHeight w:val="300"/>
        </w:trPr>
        <w:tc>
          <w:tcPr>
            <w:tcW w:w="2190" w:type="dxa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Título:</w:t>
            </w:r>
          </w:p>
        </w:tc>
        <w:tc>
          <w:tcPr>
            <w:tcW w:w="6900" w:type="dxa"/>
            <w:gridSpan w:val="5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</w:rPr>
            </w:pPr>
          </w:p>
        </w:tc>
      </w:tr>
      <w:tr w:rsidR="00914015">
        <w:trPr>
          <w:trHeight w:val="760"/>
        </w:trPr>
        <w:tc>
          <w:tcPr>
            <w:tcW w:w="2190" w:type="dxa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Estudiante(s) </w:t>
            </w:r>
          </w:p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(nombre y código):</w:t>
            </w:r>
          </w:p>
        </w:tc>
        <w:tc>
          <w:tcPr>
            <w:tcW w:w="4995" w:type="dxa"/>
            <w:gridSpan w:val="3"/>
            <w:shd w:val="clear" w:color="auto" w:fill="FFFFFF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</w:rPr>
            </w:pPr>
          </w:p>
        </w:tc>
      </w:tr>
      <w:tr w:rsidR="00914015">
        <w:trPr>
          <w:trHeight w:val="260"/>
        </w:trPr>
        <w:tc>
          <w:tcPr>
            <w:tcW w:w="2190" w:type="dxa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Docente asesor(a):</w:t>
            </w:r>
          </w:p>
        </w:tc>
        <w:tc>
          <w:tcPr>
            <w:tcW w:w="6900" w:type="dxa"/>
            <w:gridSpan w:val="5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</w:rPr>
            </w:pPr>
          </w:p>
        </w:tc>
      </w:tr>
    </w:tbl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tbl>
      <w:tblPr>
        <w:tblStyle w:val="a0"/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2730"/>
        <w:gridCol w:w="1620"/>
      </w:tblGrid>
      <w:tr w:rsidR="00914015">
        <w:trPr>
          <w:trHeight w:val="34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</w:rPr>
              <w:t>Comentario general</w:t>
            </w:r>
          </w:p>
        </w:tc>
        <w:tc>
          <w:tcPr>
            <w:tcW w:w="2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Diagnóstico</w:t>
            </w:r>
            <w:r>
              <w:rPr>
                <w:rFonts w:ascii="Gill Sans" w:eastAsia="Gill Sans" w:hAnsi="Gill Sans" w:cs="Gill Sans"/>
                <w:b/>
                <w:vertAlign w:val="superscript"/>
              </w:rPr>
              <w:footnoteReference w:id="1"/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914015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</w:tc>
      </w:tr>
      <w:tr w:rsidR="00914015">
        <w:trPr>
          <w:trHeight w:val="440"/>
        </w:trPr>
        <w:tc>
          <w:tcPr>
            <w:tcW w:w="9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:rsidR="00914015" w:rsidRDefault="0091401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</w:tc>
      </w:tr>
    </w:tbl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914015" w:rsidRDefault="00315AA2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br w:type="page"/>
      </w:r>
    </w:p>
    <w:p w:rsidR="00914015" w:rsidRDefault="00914015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tbl>
      <w:tblPr>
        <w:tblStyle w:val="a1"/>
        <w:tblW w:w="93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430"/>
        <w:gridCol w:w="945"/>
        <w:gridCol w:w="420"/>
        <w:gridCol w:w="375"/>
        <w:gridCol w:w="285"/>
        <w:gridCol w:w="975"/>
        <w:gridCol w:w="2220"/>
      </w:tblGrid>
      <w:tr w:rsidR="00914015">
        <w:trPr>
          <w:trHeight w:val="580"/>
        </w:trPr>
        <w:tc>
          <w:tcPr>
            <w:tcW w:w="1650" w:type="dxa"/>
            <w:shd w:val="clear" w:color="auto" w:fill="F1C232"/>
            <w:vAlign w:val="center"/>
          </w:tcPr>
          <w:p w:rsidR="00914015" w:rsidRDefault="00315AA2">
            <w:pPr>
              <w:ind w:left="284" w:hanging="284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Módulo</w:t>
            </w:r>
          </w:p>
        </w:tc>
        <w:tc>
          <w:tcPr>
            <w:tcW w:w="2430" w:type="dxa"/>
            <w:shd w:val="clear" w:color="auto" w:fill="F1C232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Criterios</w:t>
            </w:r>
          </w:p>
        </w:tc>
        <w:tc>
          <w:tcPr>
            <w:tcW w:w="3000" w:type="dxa"/>
            <w:gridSpan w:val="5"/>
            <w:shd w:val="clear" w:color="auto" w:fill="F1C232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Indicador</w:t>
            </w:r>
          </w:p>
        </w:tc>
        <w:tc>
          <w:tcPr>
            <w:tcW w:w="2220" w:type="dxa"/>
            <w:shd w:val="clear" w:color="auto" w:fill="F1C232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Observaciones</w:t>
            </w:r>
          </w:p>
        </w:tc>
      </w:tr>
      <w:tr w:rsidR="00914015">
        <w:trPr>
          <w:trHeight w:val="960"/>
        </w:trPr>
        <w:tc>
          <w:tcPr>
            <w:tcW w:w="1650" w:type="dxa"/>
            <w:vMerge w:val="restart"/>
            <w:shd w:val="clear" w:color="auto" w:fill="F1C232"/>
            <w:vAlign w:val="center"/>
          </w:tcPr>
          <w:p w:rsidR="00914015" w:rsidRDefault="00315AA2">
            <w:pPr>
              <w:numPr>
                <w:ilvl w:val="0"/>
                <w:numId w:val="1"/>
              </w:numPr>
              <w:ind w:left="284" w:hanging="284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Requisito de presentación</w:t>
            </w: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Los 3 ejemplares impresos son iguales.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Los 3 son iguales</w:t>
            </w:r>
          </w:p>
        </w:tc>
        <w:tc>
          <w:tcPr>
            <w:tcW w:w="795" w:type="dxa"/>
            <w:gridSpan w:val="2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Solo 2 son iguales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Los 3 son distintos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10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ind w:left="284" w:hanging="284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 versión digital (CD) se corresponde con la versión impresa.</w:t>
            </w:r>
          </w:p>
        </w:tc>
        <w:tc>
          <w:tcPr>
            <w:tcW w:w="1365" w:type="dxa"/>
            <w:gridSpan w:val="2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Sí</w:t>
            </w:r>
          </w:p>
        </w:tc>
        <w:tc>
          <w:tcPr>
            <w:tcW w:w="1635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220"/>
        </w:trPr>
        <w:tc>
          <w:tcPr>
            <w:tcW w:w="9300" w:type="dxa"/>
            <w:gridSpan w:val="8"/>
            <w:shd w:val="clear" w:color="auto" w:fill="000000"/>
            <w:vAlign w:val="center"/>
          </w:tcPr>
          <w:p w:rsidR="00914015" w:rsidRDefault="00914015">
            <w:pPr>
              <w:ind w:left="284" w:hanging="284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1360"/>
        </w:trPr>
        <w:tc>
          <w:tcPr>
            <w:tcW w:w="1650" w:type="dxa"/>
            <w:vMerge w:val="restart"/>
            <w:shd w:val="clear" w:color="auto" w:fill="F1C232"/>
            <w:vAlign w:val="center"/>
          </w:tcPr>
          <w:p w:rsidR="00914015" w:rsidRDefault="00315AA2">
            <w:pPr>
              <w:numPr>
                <w:ilvl w:val="0"/>
                <w:numId w:val="1"/>
              </w:numPr>
              <w:ind w:left="284" w:hanging="284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Ética de la investigación</w:t>
            </w: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Adjunta consentimiento informado si se menciona los nombres de los participantes y/u organizaciones o en su defecto se ha codificado.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5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ind w:left="284" w:hanging="284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Respeto por la propiedad intelectual</w:t>
            </w:r>
          </w:p>
        </w:tc>
        <w:tc>
          <w:tcPr>
            <w:tcW w:w="2025" w:type="dxa"/>
            <w:gridSpan w:val="4"/>
            <w:shd w:val="clear" w:color="auto" w:fill="FFFFFF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Reconocimiento de similitud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00 %</w:t>
            </w:r>
          </w:p>
        </w:tc>
        <w:tc>
          <w:tcPr>
            <w:tcW w:w="2220" w:type="dxa"/>
            <w:vMerge w:val="restart"/>
            <w:vAlign w:val="center"/>
          </w:tcPr>
          <w:p w:rsidR="00914015" w:rsidRDefault="00315AA2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Gill Sans" w:eastAsia="Gill Sans" w:hAnsi="Gill Sans" w:cs="Gill Sans"/>
                <w:sz w:val="18"/>
                <w:szCs w:val="18"/>
              </w:rPr>
              <w:t>Las secciones resaltadas por Turnitin están con su respectiva referencia parentética. Por lo tanto, no se considera que haya plagio en el trabajo presentado.</w:t>
            </w:r>
          </w:p>
        </w:tc>
      </w:tr>
      <w:tr w:rsidR="00914015">
        <w:trPr>
          <w:trHeight w:val="156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spacing w:line="276" w:lineRule="auto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914015" w:rsidRDefault="00914015">
            <w:pPr>
              <w:ind w:left="284" w:hanging="284"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914015" w:rsidRDefault="00914015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shd w:val="clear" w:color="auto" w:fill="FFFFFF"/>
            <w:vAlign w:val="center"/>
          </w:tcPr>
          <w:p w:rsidR="00914015" w:rsidRDefault="00315AA2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Información sin reconocimiento de autoría (no se consigna fuente ni en referencia parentética ni en el listado de referencia)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914015" w:rsidRDefault="00914015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14015">
        <w:trPr>
          <w:trHeight w:val="240"/>
        </w:trPr>
        <w:tc>
          <w:tcPr>
            <w:tcW w:w="7080" w:type="dxa"/>
            <w:gridSpan w:val="7"/>
            <w:shd w:val="clear" w:color="auto" w:fill="000000"/>
          </w:tcPr>
          <w:p w:rsidR="00914015" w:rsidRDefault="00914015">
            <w:pPr>
              <w:ind w:left="284" w:hanging="284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000000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940"/>
        </w:trPr>
        <w:tc>
          <w:tcPr>
            <w:tcW w:w="1650" w:type="dxa"/>
            <w:vMerge w:val="restart"/>
            <w:shd w:val="clear" w:color="auto" w:fill="F1C232"/>
            <w:vAlign w:val="center"/>
          </w:tcPr>
          <w:p w:rsidR="00914015" w:rsidRDefault="00315AA2">
            <w:pPr>
              <w:numPr>
                <w:ilvl w:val="0"/>
                <w:numId w:val="1"/>
              </w:numPr>
              <w:ind w:left="284" w:hanging="284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Sistema de referencia</w:t>
            </w: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 fuentes utilizadas son válidas para sustentar una investigación académica.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96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 referencias parentéticas y el listado de referencias cumplen con el formato APA.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9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Hay correspondencias entre la lista de referencias y las referencias parentéticas.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108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Hay correspondencia entre los anexos y las referencias parentéticas de anexos.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156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Hay correspondencia entre los nombres de los anexos digitales y sus contrapartes presentadas en la versión física.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600"/>
        </w:trPr>
        <w:tc>
          <w:tcPr>
            <w:tcW w:w="1650" w:type="dxa"/>
            <w:shd w:val="clear" w:color="auto" w:fill="F1C232"/>
            <w:vAlign w:val="center"/>
          </w:tcPr>
          <w:p w:rsidR="00914015" w:rsidRDefault="00315AA2">
            <w:pPr>
              <w:ind w:left="284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lastRenderedPageBreak/>
              <w:t>Módulo</w:t>
            </w:r>
          </w:p>
        </w:tc>
        <w:tc>
          <w:tcPr>
            <w:tcW w:w="2430" w:type="dxa"/>
            <w:shd w:val="clear" w:color="auto" w:fill="F1C232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Criterios</w:t>
            </w:r>
          </w:p>
        </w:tc>
        <w:tc>
          <w:tcPr>
            <w:tcW w:w="3000" w:type="dxa"/>
            <w:gridSpan w:val="5"/>
            <w:shd w:val="clear" w:color="auto" w:fill="F1C232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Indicador</w:t>
            </w:r>
          </w:p>
        </w:tc>
        <w:tc>
          <w:tcPr>
            <w:tcW w:w="2220" w:type="dxa"/>
            <w:shd w:val="clear" w:color="auto" w:fill="F1C232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Observaciones</w:t>
            </w:r>
          </w:p>
        </w:tc>
      </w:tr>
      <w:tr w:rsidR="00914015">
        <w:trPr>
          <w:trHeight w:val="1600"/>
        </w:trPr>
        <w:tc>
          <w:tcPr>
            <w:tcW w:w="1650" w:type="dxa"/>
            <w:vMerge w:val="restart"/>
            <w:shd w:val="clear" w:color="auto" w:fill="F1C232"/>
            <w:vAlign w:val="center"/>
          </w:tcPr>
          <w:p w:rsidR="00914015" w:rsidRDefault="00315AA2">
            <w:pPr>
              <w:numPr>
                <w:ilvl w:val="0"/>
                <w:numId w:val="1"/>
              </w:numPr>
              <w:ind w:left="284" w:hanging="284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Formato para presentación  </w:t>
            </w: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el número recomendado de páginas:</w:t>
            </w:r>
          </w:p>
          <w:p w:rsidR="00914015" w:rsidRDefault="00315AA2">
            <w:pPr>
              <w:numPr>
                <w:ilvl w:val="0"/>
                <w:numId w:val="2"/>
              </w:numPr>
              <w:ind w:left="465" w:hanging="142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Sección central:</w:t>
            </w:r>
          </w:p>
          <w:p w:rsidR="00914015" w:rsidRDefault="00315AA2">
            <w:pPr>
              <w:numPr>
                <w:ilvl w:val="1"/>
                <w:numId w:val="2"/>
              </w:numPr>
              <w:ind w:left="443" w:hanging="270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tesis 80-120</w:t>
            </w:r>
          </w:p>
          <w:p w:rsidR="00914015" w:rsidRDefault="00315AA2">
            <w:pPr>
              <w:numPr>
                <w:ilvl w:val="1"/>
                <w:numId w:val="2"/>
              </w:numPr>
              <w:ind w:left="443" w:hanging="270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proyecto profesional 80-100</w:t>
            </w:r>
          </w:p>
          <w:p w:rsidR="00914015" w:rsidRDefault="00315AA2">
            <w:pPr>
              <w:numPr>
                <w:ilvl w:val="0"/>
                <w:numId w:val="2"/>
              </w:numPr>
              <w:ind w:left="465" w:hanging="142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Anexos: 80 páginas</w:t>
            </w:r>
          </w:p>
        </w:tc>
        <w:tc>
          <w:tcPr>
            <w:tcW w:w="1365" w:type="dxa"/>
            <w:gridSpan w:val="2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Sí</w:t>
            </w:r>
          </w:p>
        </w:tc>
        <w:tc>
          <w:tcPr>
            <w:tcW w:w="1635" w:type="dxa"/>
            <w:gridSpan w:val="3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11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las partes obligatorias de la sección preliminar (portada, página de aprobación, tabla de contenidos, lista de tablas, lista de figuras y resumen ejecutivo).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9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las partes obligatorias de la sección central (introducción, capítulos, conclusiones).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En todos los casos 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9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las partes obligatorias de la sección complementaria (referencias, anexos).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52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Se cumple con formato de márgenes.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110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formato (2 cm de borde de página) y tipología de numeración por sección (romanos y arábigos).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68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formato de títulos y texto genérico.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  <w:tr w:rsidR="00914015">
        <w:trPr>
          <w:trHeight w:val="760"/>
        </w:trPr>
        <w:tc>
          <w:tcPr>
            <w:tcW w:w="1650" w:type="dxa"/>
            <w:vMerge/>
            <w:shd w:val="clear" w:color="auto" w:fill="F1C232"/>
            <w:vAlign w:val="center"/>
          </w:tcPr>
          <w:p w:rsidR="00914015" w:rsidRDefault="00914015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14015" w:rsidRDefault="00315AA2">
            <w:pPr>
              <w:numPr>
                <w:ilvl w:val="0"/>
                <w:numId w:val="3"/>
              </w:numPr>
              <w:ind w:left="317" w:hanging="283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 cumple con formato para la presentación de tablas y figuras.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todos los casos</w:t>
            </w:r>
          </w:p>
        </w:tc>
        <w:tc>
          <w:tcPr>
            <w:tcW w:w="1080" w:type="dxa"/>
            <w:gridSpan w:val="3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algunos casos</w:t>
            </w:r>
          </w:p>
        </w:tc>
        <w:tc>
          <w:tcPr>
            <w:tcW w:w="975" w:type="dxa"/>
            <w:vAlign w:val="center"/>
          </w:tcPr>
          <w:p w:rsidR="00914015" w:rsidRDefault="00315AA2">
            <w:pPr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En ningún caso</w:t>
            </w:r>
          </w:p>
        </w:tc>
        <w:tc>
          <w:tcPr>
            <w:tcW w:w="2220" w:type="dxa"/>
            <w:vAlign w:val="center"/>
          </w:tcPr>
          <w:p w:rsidR="00914015" w:rsidRDefault="00914015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:rsidR="00914015" w:rsidRDefault="00914015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</w:p>
    <w:p w:rsidR="00914015" w:rsidRDefault="00914015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</w:p>
    <w:p w:rsidR="00914015" w:rsidRDefault="00315AA2">
      <w:pPr>
        <w:spacing w:after="0" w:line="24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ANEXO: </w:t>
      </w:r>
    </w:p>
    <w:p w:rsidR="00914015" w:rsidRDefault="00914015">
      <w:pPr>
        <w:spacing w:after="0" w:line="240" w:lineRule="auto"/>
        <w:rPr>
          <w:rFonts w:ascii="Gill Sans" w:eastAsia="Gill Sans" w:hAnsi="Gill Sans" w:cs="Gill Sans"/>
          <w:b/>
        </w:rPr>
      </w:pPr>
    </w:p>
    <w:tbl>
      <w:tblPr>
        <w:tblStyle w:val="a2"/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85"/>
        <w:gridCol w:w="6090"/>
      </w:tblGrid>
      <w:tr w:rsidR="0091401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N.°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Nombre de la página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URL</w:t>
            </w:r>
          </w:p>
        </w:tc>
      </w:tr>
      <w:tr w:rsidR="0091401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01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914015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914015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</w:tr>
      <w:tr w:rsidR="00914015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315AA2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02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914015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15" w:rsidRDefault="00914015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</w:tr>
    </w:tbl>
    <w:p w:rsidR="00914015" w:rsidRDefault="00914015">
      <w:pPr>
        <w:spacing w:after="0" w:line="240" w:lineRule="auto"/>
        <w:rPr>
          <w:rFonts w:ascii="Gill Sans" w:eastAsia="Gill Sans" w:hAnsi="Gill Sans" w:cs="Gill Sans"/>
          <w:b/>
        </w:rPr>
      </w:pPr>
    </w:p>
    <w:p w:rsidR="00914015" w:rsidRDefault="00315AA2">
      <w:pPr>
        <w:spacing w:after="0" w:line="240" w:lineRule="auto"/>
        <w:jc w:val="both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01. </w:t>
      </w:r>
    </w:p>
    <w:p w:rsidR="00914015" w:rsidRDefault="00315AA2">
      <w:pPr>
        <w:spacing w:after="0" w:line="240" w:lineRule="auto"/>
        <w:jc w:val="both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lastRenderedPageBreak/>
        <w:t xml:space="preserve">02. </w:t>
      </w:r>
    </w:p>
    <w:p w:rsidR="00914015" w:rsidRDefault="00914015">
      <w:pPr>
        <w:spacing w:after="0" w:line="240" w:lineRule="auto"/>
        <w:rPr>
          <w:rFonts w:ascii="Gill Sans" w:eastAsia="Gill Sans" w:hAnsi="Gill Sans" w:cs="Gill Sans"/>
          <w:b/>
        </w:rPr>
      </w:pPr>
    </w:p>
    <w:sectPr w:rsidR="00914015">
      <w:headerReference w:type="default" r:id="rId12"/>
      <w:footerReference w:type="default" r:id="rId13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A2" w:rsidRDefault="00315AA2">
      <w:pPr>
        <w:spacing w:after="0" w:line="240" w:lineRule="auto"/>
      </w:pPr>
      <w:r>
        <w:separator/>
      </w:r>
    </w:p>
  </w:endnote>
  <w:endnote w:type="continuationSeparator" w:id="0">
    <w:p w:rsidR="00315AA2" w:rsidRDefault="003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15" w:rsidRDefault="00315AA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6E168C">
      <w:rPr>
        <w:rFonts w:ascii="Times New Roman" w:eastAsia="Times New Roman" w:hAnsi="Times New Roman" w:cs="Times New Roman"/>
      </w:rPr>
      <w:fldChar w:fldCharType="separate"/>
    </w:r>
    <w:r w:rsidR="006E168C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A2" w:rsidRDefault="00315AA2">
      <w:pPr>
        <w:spacing w:after="0" w:line="240" w:lineRule="auto"/>
      </w:pPr>
      <w:r>
        <w:separator/>
      </w:r>
    </w:p>
  </w:footnote>
  <w:footnote w:type="continuationSeparator" w:id="0">
    <w:p w:rsidR="00315AA2" w:rsidRDefault="00315AA2">
      <w:pPr>
        <w:spacing w:after="0" w:line="240" w:lineRule="auto"/>
      </w:pPr>
      <w:r>
        <w:continuationSeparator/>
      </w:r>
    </w:p>
  </w:footnote>
  <w:footnote w:id="1">
    <w:p w:rsidR="00914015" w:rsidRDefault="00315AA2">
      <w:pPr>
        <w:spacing w:after="0" w:line="240" w:lineRule="auto"/>
        <w:ind w:left="278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Rojo: Los estudiantes deben realizar mejoras urgentes en todos o casi todos los criterios de revisión. </w:t>
      </w:r>
    </w:p>
    <w:p w:rsidR="00914015" w:rsidRDefault="00315AA2">
      <w:pPr>
        <w:spacing w:after="0" w:line="240" w:lineRule="auto"/>
        <w:ind w:left="278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Amarillo: Los estudiantes deben realizar varias mejoras en muchos criterios de revisión.</w:t>
      </w:r>
    </w:p>
    <w:p w:rsidR="00914015" w:rsidRDefault="00315AA2">
      <w:pPr>
        <w:spacing w:after="0" w:line="240" w:lineRule="auto"/>
        <w:ind w:left="278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Verde: Los estudiantes deben realizar algunas revisiones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mejoras menores.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15" w:rsidRDefault="00315AA2">
    <w:pPr>
      <w:spacing w:before="720" w:after="0"/>
      <w:rPr>
        <w:rFonts w:ascii="Gill Sans" w:eastAsia="Gill Sans" w:hAnsi="Gill Sans" w:cs="Gill San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3638550</wp:posOffset>
          </wp:positionH>
          <wp:positionV relativeFrom="paragraph">
            <wp:posOffset>600075</wp:posOffset>
          </wp:positionV>
          <wp:extent cx="1895792" cy="5619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792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906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440"/>
      <w:gridCol w:w="5620"/>
    </w:tblGrid>
    <w:tr w:rsidR="00914015" w:rsidTr="0091401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4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40" w:type="dxa"/>
        </w:tcPr>
        <w:p w:rsidR="00914015" w:rsidRDefault="00315AA2">
          <w:pPr>
            <w:rPr>
              <w:rFonts w:ascii="Gill Sans" w:eastAsia="Gill Sans" w:hAnsi="Gill Sans" w:cs="Gill Sans"/>
              <w:color w:val="003572"/>
              <w:sz w:val="24"/>
              <w:szCs w:val="24"/>
            </w:rPr>
          </w:pPr>
          <w:r>
            <w:rPr>
              <w:rFonts w:ascii="Gill Sans" w:eastAsia="Gill Sans" w:hAnsi="Gill Sans" w:cs="Gill Sans"/>
              <w:color w:val="003572"/>
              <w:sz w:val="24"/>
              <w:szCs w:val="24"/>
            </w:rPr>
            <w:t>FACULTAD DE</w:t>
          </w:r>
        </w:p>
        <w:p w:rsidR="00914015" w:rsidRDefault="00315AA2">
          <w:pPr>
            <w:rPr>
              <w:rFonts w:ascii="Gill Sans" w:eastAsia="Gill Sans" w:hAnsi="Gill Sans" w:cs="Gill Sans"/>
              <w:b/>
              <w:color w:val="003572"/>
              <w:sz w:val="24"/>
              <w:szCs w:val="24"/>
            </w:rPr>
          </w:pPr>
          <w:r>
            <w:rPr>
              <w:rFonts w:ascii="Gill Sans" w:eastAsia="Gill Sans" w:hAnsi="Gill Sans" w:cs="Gill Sans"/>
              <w:b/>
              <w:color w:val="003572"/>
              <w:sz w:val="24"/>
              <w:szCs w:val="24"/>
            </w:rPr>
            <w:t xml:space="preserve">GESTIÓN </w:t>
          </w:r>
          <w:r>
            <w:rPr>
              <w:rFonts w:ascii="Gill Sans" w:eastAsia="Gill Sans" w:hAnsi="Gill Sans" w:cs="Gill Sans"/>
              <w:color w:val="003572"/>
              <w:sz w:val="24"/>
              <w:szCs w:val="24"/>
            </w:rPr>
            <w:t xml:space="preserve">Y </w:t>
          </w:r>
        </w:p>
        <w:p w:rsidR="00914015" w:rsidRDefault="00315AA2">
          <w:pPr>
            <w:rPr>
              <w:rFonts w:ascii="Gill Sans" w:eastAsia="Gill Sans" w:hAnsi="Gill Sans" w:cs="Gill Sans"/>
              <w:sz w:val="24"/>
              <w:szCs w:val="24"/>
            </w:rPr>
          </w:pPr>
          <w:r>
            <w:rPr>
              <w:rFonts w:ascii="Gill Sans" w:eastAsia="Gill Sans" w:hAnsi="Gill Sans" w:cs="Gill Sans"/>
              <w:b/>
              <w:color w:val="003572"/>
              <w:sz w:val="24"/>
              <w:szCs w:val="24"/>
            </w:rPr>
            <w:t>ALTA DIRECCIÓN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5620" w:type="dxa"/>
        </w:tcPr>
        <w:p w:rsidR="00914015" w:rsidRDefault="00914015">
          <w:pPr>
            <w:spacing w:before="720"/>
            <w:jc w:val="center"/>
            <w:rPr>
              <w:rFonts w:ascii="Gill Sans" w:eastAsia="Gill Sans" w:hAnsi="Gill Sans" w:cs="Gill Sans"/>
            </w:rPr>
          </w:pPr>
        </w:p>
      </w:tc>
    </w:tr>
  </w:tbl>
  <w:p w:rsidR="00914015" w:rsidRDefault="00914015">
    <w:pPr>
      <w:spacing w:after="0" w:line="240" w:lineRule="auto"/>
      <w:rPr>
        <w:rFonts w:ascii="Gill Sans" w:eastAsia="Gill Sans" w:hAnsi="Gill Sans" w:cs="Gill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0D2"/>
    <w:multiLevelType w:val="multilevel"/>
    <w:tmpl w:val="39A85166"/>
    <w:lvl w:ilvl="0">
      <w:start w:val="201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16"/>
        <w:szCs w:val="16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17F47D6"/>
    <w:multiLevelType w:val="multilevel"/>
    <w:tmpl w:val="25904D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E426B48"/>
    <w:multiLevelType w:val="multilevel"/>
    <w:tmpl w:val="FD14835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015"/>
    <w:rsid w:val="00315AA2"/>
    <w:rsid w:val="006E168C"/>
    <w:rsid w:val="009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Muller Ruffner</dc:creator>
  <cp:lastModifiedBy>Teresa Muller Ruffner</cp:lastModifiedBy>
  <cp:revision>2</cp:revision>
  <dcterms:created xsi:type="dcterms:W3CDTF">2017-08-19T00:18:00Z</dcterms:created>
  <dcterms:modified xsi:type="dcterms:W3CDTF">2017-08-19T00:18:00Z</dcterms:modified>
</cp:coreProperties>
</file>